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sz w:val="96"/>
          <w:szCs w:val="44"/>
          <w:lang w:val="en-US" w:eastAsia="zh-CN"/>
        </w:rPr>
      </w:pPr>
      <w:bookmarkStart w:id="0" w:name="_GoBack"/>
      <w:bookmarkEnd w:id="0"/>
    </w:p>
    <w:p>
      <w:pPr>
        <w:pStyle w:val="3"/>
        <w:jc w:val="center"/>
        <w:rPr>
          <w:rFonts w:hint="eastAsia"/>
          <w:sz w:val="96"/>
          <w:szCs w:val="44"/>
          <w:lang w:val="en-US" w:eastAsia="zh-CN"/>
        </w:rPr>
      </w:pPr>
    </w:p>
    <w:p>
      <w:pPr>
        <w:pStyle w:val="3"/>
        <w:jc w:val="center"/>
        <w:rPr>
          <w:rFonts w:hint="eastAsia"/>
          <w:sz w:val="96"/>
          <w:szCs w:val="44"/>
          <w:highlight w:val="yellow"/>
          <w:lang w:val="en-US" w:eastAsia="zh-CN"/>
        </w:rPr>
      </w:pPr>
      <w:r>
        <w:rPr>
          <w:rFonts w:hint="eastAsia"/>
          <w:sz w:val="96"/>
          <w:szCs w:val="44"/>
          <w:highlight w:val="none"/>
          <w:lang w:val="en-US" w:eastAsia="zh-CN"/>
        </w:rPr>
        <w:t>综合评议</w:t>
      </w:r>
    </w:p>
    <w:p>
      <w:pPr>
        <w:pStyle w:val="3"/>
        <w:jc w:val="center"/>
        <w:rPr>
          <w:rFonts w:hint="eastAsia"/>
          <w:sz w:val="96"/>
          <w:szCs w:val="44"/>
          <w:lang w:val="en-US" w:eastAsia="zh-CN"/>
        </w:rPr>
      </w:pPr>
      <w:r>
        <w:rPr>
          <w:rFonts w:hint="eastAsia"/>
          <w:sz w:val="96"/>
          <w:szCs w:val="44"/>
          <w:lang w:val="en-US" w:eastAsia="zh-CN"/>
        </w:rPr>
        <w:t>采购需求文件</w:t>
      </w:r>
    </w:p>
    <w:p>
      <w:pPr>
        <w:rPr>
          <w:rFonts w:hint="eastAsia"/>
          <w:sz w:val="96"/>
          <w:szCs w:val="44"/>
          <w:lang w:val="en-US" w:eastAsia="zh-CN"/>
        </w:rPr>
      </w:pPr>
    </w:p>
    <w:p>
      <w:pPr>
        <w:rPr>
          <w:rFonts w:hint="eastAsia"/>
          <w:sz w:val="96"/>
          <w:szCs w:val="44"/>
          <w:lang w:val="en-US" w:eastAsia="zh-CN"/>
        </w:rPr>
      </w:pPr>
    </w:p>
    <w:p>
      <w:pPr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6号楼7层、-1层，4号楼16层东区维改工程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                   </w:t>
      </w:r>
    </w:p>
    <w:p>
      <w:pPr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采购部门：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后勤保障部                     </w:t>
      </w:r>
    </w:p>
    <w:p>
      <w:pPr>
        <w:rPr>
          <w:rFonts w:hint="eastAsia" w:ascii="仿宋" w:hAnsi="仿宋" w:eastAsia="仿宋" w:cs="仿宋"/>
          <w:sz w:val="40"/>
          <w:szCs w:val="40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40"/>
          <w:szCs w:val="40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2023年8 月14 日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第一章   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综合评议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公告</w:t>
      </w:r>
    </w:p>
    <w:tbl>
      <w:tblPr>
        <w:tblStyle w:val="5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0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武汉大学中南医院对“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6号楼7层、-1层，4号楼16层东区维改工程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项目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”组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织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/>
                <w:lang w:val="en-US" w:eastAsia="zh-CN"/>
              </w:rPr>
              <w:t>（综合评议）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购，欢迎对此感兴趣并符合资质条件的投标人参加采购活动。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一、项目名称</w:t>
            </w:r>
          </w:p>
        </w:tc>
        <w:tc>
          <w:tcPr>
            <w:tcW w:w="6445" w:type="dxa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6号楼7层、-1层，4号楼16层东区维改工程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二、采购内容</w:t>
            </w:r>
          </w:p>
        </w:tc>
        <w:tc>
          <w:tcPr>
            <w:tcW w:w="6445" w:type="dxa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维修改造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三、采购预算</w:t>
            </w:r>
          </w:p>
        </w:tc>
        <w:tc>
          <w:tcPr>
            <w:tcW w:w="6445" w:type="dxa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356440.58元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四、投标人资格条件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1、满足《中华人民共和国政府采购法》第二十二条规定，即：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（1）具有独立承担民事责任的能力；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（2）具有良好的商业信誉和健全的财务会计制度；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（3）具有履行合同所必需的设备和专业技术能力；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（4）有依法缴纳税收和社会保障资金的良好记录；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（5）参加政府采购活动前三年内，在经营活动中没有重大违法记录；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（6）法律、行政法规规定的其他条件。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2、单位负责人为同一人或者存在直接控股、管理关系的不同供应商，不得参加本项目同一合同项下的政府采购活动。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3、为本采购项目提供整体设计、规范编制或者项目管理、监理、检测等服务的供应商，不得再参加本项目的其他采购活动。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4、未被列入失信被执行人、重大税收违法案件当事人名单，未被列入政府采购严重违法失信行为记录名单。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.本项目的特定资格要求：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供应商参加政府采购活动前三年内未被列入“信用中国”网站(www.creditchina.gov.cn)失信被执行人、重大税收违法案件当事人、政府采购严重违法失信行为记录名单和“中国政府采购”网站（www.ccgp.gov.cn）政府采购严重违法失信行为记录名单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（2）供应商须具有建筑装修装饰工程专业承包二级及以上资质；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（3）供应商须具有合格有效的安全生产许可证。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五、报名方式及时间地点要求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报名方式：</w:t>
            </w:r>
          </w:p>
          <w:p>
            <w:pPr>
              <w:widowControl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报名地点：武汉大学中南医院后勤保障部基建部办公室</w:t>
            </w:r>
          </w:p>
          <w:p>
            <w:pPr>
              <w:widowControl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报名时间：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日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（竞价不少于1个工作日/综合评议不少于3个工作日）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六、（响应/投标）文件的递交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文件的递交截止时间：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日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:30（北京时间）（逾期送达不予接受）</w:t>
            </w:r>
          </w:p>
          <w:p>
            <w:pPr>
              <w:widowControl/>
              <w:numPr>
                <w:ilvl w:val="0"/>
                <w:numId w:val="2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文件的递交地点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及方式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武汉大学中南医院后勤保障部会议室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七、（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磋商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/开标）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时间地点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idowControl/>
              <w:numPr>
                <w:ilvl w:val="0"/>
                <w:numId w:val="3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时间：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日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:30（北京时间）</w:t>
            </w:r>
          </w:p>
          <w:p>
            <w:pPr>
              <w:widowControl/>
              <w:numPr>
                <w:ilvl w:val="0"/>
                <w:numId w:val="3"/>
              </w:numPr>
              <w:wordWrap/>
              <w:adjustRightInd/>
              <w:snapToGrid/>
              <w:spacing w:line="360" w:lineRule="exact"/>
              <w:ind w:left="330" w:lef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地点：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武汉大学中南医院后勤保障部会议室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八、联系方式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 xml:space="preserve">招标人：武汉大学中南医院                          </w:t>
            </w:r>
          </w:p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 xml:space="preserve">地  址：武汉市武昌区东湖路169号                                                  </w:t>
            </w:r>
          </w:p>
          <w:p>
            <w:pPr>
              <w:wordWrap/>
              <w:adjustRightInd/>
              <w:snapToGrid/>
              <w:spacing w:line="36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及电话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刘老师 67813026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9535" w:type="dxa"/>
            <w:gridSpan w:val="2"/>
            <w:vAlign w:val="center"/>
          </w:tcPr>
          <w:p>
            <w:pPr>
              <w:wordWrap/>
              <w:adjustRightInd/>
              <w:snapToGrid/>
              <w:spacing w:line="360" w:lineRule="exact"/>
              <w:jc w:val="righ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后勤保障部               </w:t>
            </w:r>
          </w:p>
          <w:p>
            <w:pPr>
              <w:wordWrap/>
              <w:adjustRightInd/>
              <w:snapToGrid/>
              <w:spacing w:line="360" w:lineRule="exact"/>
              <w:jc w:val="righ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2023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zh-CN" w:eastAsia="zh-CN"/>
              </w:rPr>
              <w:t xml:space="preserve">日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                             第二章  采购需求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采购内容</w:t>
      </w:r>
    </w:p>
    <w:p>
      <w:pPr>
        <w:wordWrap/>
        <w:adjustRightInd/>
        <w:snapToGrid/>
        <w:spacing w:line="360" w:lineRule="exact"/>
        <w:ind w:firstLine="560" w:firstLineChars="200"/>
        <w:outlineLvl w:val="9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/>
        </w:rPr>
        <w:t>6号楼地下一层放化疗会议室改造，含墙顶地面拆除新作石膏板吊顶，软膜天花、墙面护墙板、地面翻新；6号楼7层2间VIP病房装饰改造含卫生间洁具、病房墙面，吊顶、地面拆除及翻新，设备带更换。4号楼16层东区PVC地胶更换。详见招标图纸及工程量清单。</w:t>
      </w:r>
    </w:p>
    <w:p>
      <w:pPr>
        <w:widowControl w:val="0"/>
        <w:numPr>
          <w:ilvl w:val="0"/>
          <w:numId w:val="0"/>
        </w:numPr>
        <w:wordWrap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服务/技术要求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49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品牌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墙砖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阿波罗、欧神诺、新中源同档次及以上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地面磁砖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阿波罗、欧神诺、新中源同档次及以上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石塑地胶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沃恩、spc、道成同档次及以上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609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lang w:val="en-US" w:eastAsia="zh-CN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木饰面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吉祥、科定同档次及以上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电线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武汉二厂、金貂同档次及以上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开关插座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施耐德、公牛、西门子同档次及以上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乳胶漆</w:t>
            </w:r>
          </w:p>
        </w:tc>
        <w:tc>
          <w:tcPr>
            <w:tcW w:w="394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立邦净味、多乐士、华润同档次及以上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4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商务要求</w:t>
      </w:r>
    </w:p>
    <w:p>
      <w:pPr>
        <w:wordWrap/>
        <w:adjustRightInd/>
        <w:snapToGrid/>
        <w:spacing w:line="360" w:lineRule="exact"/>
        <w:ind w:firstLine="560" w:firstLineChars="200"/>
        <w:outlineLvl w:val="9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/>
        </w:rPr>
        <w:t>质保：二年。</w:t>
      </w:r>
    </w:p>
    <w:p>
      <w:pPr>
        <w:wordWrap/>
        <w:adjustRightInd/>
        <w:snapToGrid/>
        <w:spacing w:line="360" w:lineRule="exact"/>
        <w:ind w:firstLine="560" w:firstLineChars="200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/>
        </w:rPr>
        <w:t>付款：合同签订后一周内支付合同价款的30%，项目竣工验收合格后支付合同价款的60%，经审计后支付至审计金额的 98.5%，质保期两年后一次性付清，不计利息。施工用水、用电费用按工程总价的 12‰缴纳甲方或安装施工计费用的电表、水表。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售后要求：接甲方通知后24小时完成。</w:t>
      </w:r>
    </w:p>
    <w:p>
      <w:pPr>
        <w:pStyle w:val="2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工期：25日历天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第三章 评定办法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一、响应文件初审</w:t>
      </w:r>
    </w:p>
    <w:p>
      <w:pPr>
        <w:pStyle w:val="4"/>
        <w:widowControl w:val="0"/>
        <w:wordWrap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按照采购需求文件资格条件要求审查供应商递交的响应文件。</w:t>
      </w:r>
    </w:p>
    <w:p>
      <w:pPr>
        <w:widowControl w:val="0"/>
        <w:numPr>
          <w:ilvl w:val="0"/>
          <w:numId w:val="5"/>
        </w:numPr>
        <w:wordWrap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最后报价</w:t>
      </w:r>
    </w:p>
    <w:p>
      <w:pPr>
        <w:pStyle w:val="4"/>
        <w:widowControl w:val="0"/>
        <w:wordWrap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竞价/综合评议采购均可以二轮报价，符合资格要求的供应商按照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要求使其在规定时间内提交最后报价，并在响应文件签署最后报价内容。</w:t>
      </w:r>
    </w:p>
    <w:p>
      <w:pPr>
        <w:widowControl w:val="0"/>
        <w:numPr>
          <w:ilvl w:val="0"/>
          <w:numId w:val="5"/>
        </w:numPr>
        <w:wordWrap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详细评审</w:t>
      </w:r>
    </w:p>
    <w:p>
      <w:pPr>
        <w:pStyle w:val="4"/>
        <w:widowControl w:val="0"/>
        <w:wordWrap/>
        <w:adjustRightInd/>
        <w:snapToGrid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综合评议：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评分表（根据项目特征从技术、商务、价格三方面设置，满分 100 分）（说明：服务类采购价格分不低于10分，货物类采购价格分不低于30分）</w:t>
      </w:r>
    </w:p>
    <w:tbl>
      <w:tblPr>
        <w:tblStyle w:val="5"/>
        <w:tblpPr w:leftFromText="180" w:rightFromText="180" w:vertAnchor="text" w:horzAnchor="page" w:tblpX="1799" w:tblpY="530"/>
        <w:tblOverlap w:val="never"/>
        <w:tblW w:w="84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60"/>
        <w:gridCol w:w="1214"/>
        <w:gridCol w:w="4495"/>
        <w:gridCol w:w="1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评分主要因素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评分具体标准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价格评议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最后报价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价格分采用低价优先法计算，即满足磋商文件要求且最后报价（落实政府采购政策进行价格调整的，以调整后的价格计算）最低的供应商的报价为磋商基准价，其价格分为满分。其他供应商的价格分统一按照下列公式计算：</w:t>
            </w:r>
          </w:p>
          <w:p>
            <w:pPr>
              <w:widowControl w:val="0"/>
              <w:wordWrap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磋商报价得分=（磋商基准价／最后磋商报价)×30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技术评议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项目概况、重难点分析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对项目的重、难点分析以及解决方案：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重、难点把握准确，分析全面，且有合理的解决方案得10分；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重、难点内容基本掌握，解决方案思路不够清晰，针对性不够准确得7分；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重、难点把握不全面，无解决方案得3分；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施工方案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根据供应商提供的主要施工方案进行评分：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方案完备详细、科学合理的，得10分；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方案完备但不够详细的，得7分；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方案不完整的，得3分；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工程质量保障措施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工程质量保障措施进行评分：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措施完备详细、有针对性的，得8分；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措施完备但不够详细的，得6分；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措施不完整的，得3分；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安全生产方案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安全生产方案进行评分：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方案完备详细、科学合理的，得8分；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方案完备但不够详细的，得6分；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方案不完整的，得3分；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文明施工方案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文明施工方案进行评分：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方案完备详细、科学合理的，得8分；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方案完备但不够详细的，得5分；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方案不完整的，得2分；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项目施工其它应对措施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根据供应商针对对雨季施工、地下管线保护、成品保护等应对措施进行评分：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措施完备详细、科学合理的，得5分；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措施完备但不够详细的，得3分；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措施不完整的，得1分；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商务评议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i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体系认证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供应商具有有效的：</w:t>
            </w:r>
          </w:p>
          <w:p>
            <w:pPr>
              <w:widowControl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ISO9001（GB/T19001）质量管理体系认证证书、ISO14001(GB/T24001)环境管理体系认证证书、ISO45001 OHSAS18001(GB/T28001)职业健康安全管理体系认证证书的，每一项得2分，最多得6分。（提供证书复印件加盖公章）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i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项目人员配置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根据供应商提供的项目人员配置方案进行评分：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人员配置结构合理、分工明确、项目经理有类似项目业绩的，得5分；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人员配置结构合理、分工明确的，得3分；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人员配置结构不合理的，得1分；</w:t>
            </w:r>
          </w:p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未提供不得分。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449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供应商近三年（以合同签订时间为准）具有类似项目业绩，每提供一项得2分，最高10分。（需提供合同、中标通知书及竣工验收证明复印件加盖公章）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4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总分：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100分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6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供应商递交响应文件格式及要求</w:t>
      </w:r>
    </w:p>
    <w:p>
      <w:pPr>
        <w:pStyle w:val="4"/>
        <w:widowControl w:val="0"/>
        <w:wordWrap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一、格式要求：</w:t>
      </w:r>
    </w:p>
    <w:p>
      <w:pPr>
        <w:pStyle w:val="4"/>
        <w:widowControl w:val="0"/>
        <w:numPr>
          <w:ilvl w:val="0"/>
          <w:numId w:val="7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供应商递交的响应文件必须胶装成册，并每页需签字并加盖公章；</w:t>
      </w:r>
    </w:p>
    <w:p>
      <w:pPr>
        <w:pStyle w:val="4"/>
        <w:widowControl w:val="0"/>
        <w:numPr>
          <w:ilvl w:val="0"/>
          <w:numId w:val="7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响应文件密封完好，并在封面清楚标明项目名称、项目编号及投标单位名称等，并加盖单位公章。</w:t>
      </w:r>
    </w:p>
    <w:p>
      <w:pPr>
        <w:pStyle w:val="4"/>
        <w:widowControl w:val="0"/>
        <w:numPr>
          <w:ilvl w:val="0"/>
          <w:numId w:val="8"/>
        </w:numPr>
        <w:wordWrap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响应文件编制要求：</w:t>
      </w:r>
    </w:p>
    <w:p>
      <w:pPr>
        <w:pStyle w:val="4"/>
        <w:widowControl w:val="0"/>
        <w:numPr>
          <w:ilvl w:val="0"/>
          <w:numId w:val="9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响应文件正本1份，副本1份。（若正本副本不符，以正本为准）</w:t>
      </w:r>
    </w:p>
    <w:p>
      <w:pPr>
        <w:pStyle w:val="4"/>
        <w:widowControl w:val="0"/>
        <w:numPr>
          <w:ilvl w:val="0"/>
          <w:numId w:val="9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响应文件由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“资格条件部分”、“技术部分”和“商务部分”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等三部分构成，其中：资格条件部分按照资格条件要求提供；技术部分按照第三章采购需求内容逐一响应；商务部分应包含业绩情况、售后服务方案及承诺等内容。</w:t>
      </w:r>
    </w:p>
    <w:p>
      <w:pPr>
        <w:pStyle w:val="4"/>
        <w:widowControl w:val="0"/>
        <w:numPr>
          <w:ilvl w:val="0"/>
          <w:numId w:val="9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报价格式要求：</w:t>
      </w:r>
    </w:p>
    <w:tbl>
      <w:tblPr>
        <w:tblStyle w:val="5"/>
        <w:tblW w:w="86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79"/>
        <w:gridCol w:w="2029"/>
        <w:gridCol w:w="1009"/>
        <w:gridCol w:w="1008"/>
        <w:gridCol w:w="1005"/>
        <w:gridCol w:w="887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工期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9" w:type="dxa"/>
            <w:vAlign w:val="top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5" w:type="dxa"/>
            <w:vAlign w:val="top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029" w:type="dxa"/>
            <w:vAlign w:val="top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100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005" w:type="dxa"/>
            <w:vAlign w:val="top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887" w:type="dxa"/>
            <w:vAlign w:val="top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895" w:type="dxa"/>
            <w:vAlign w:val="top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29" w:type="dxa"/>
            <w:vAlign w:val="center"/>
          </w:tcPr>
          <w:p>
            <w:pPr>
              <w:wordWrap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9" w:type="dxa"/>
            <w:vAlign w:val="center"/>
          </w:tcPr>
          <w:p>
            <w:pPr>
              <w:wordWrap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合计：</w:t>
            </w:r>
          </w:p>
        </w:tc>
        <w:tc>
          <w:tcPr>
            <w:tcW w:w="6833" w:type="dxa"/>
            <w:gridSpan w:val="6"/>
            <w:vAlign w:val="top"/>
          </w:tcPr>
          <w:p>
            <w:pPr>
              <w:wordWrap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4"/>
        <w:widowControl w:val="0"/>
        <w:numPr>
          <w:ilvl w:val="0"/>
          <w:numId w:val="9"/>
        </w:numPr>
        <w:wordWrap/>
        <w:adjustRightInd/>
        <w:snapToGrid/>
        <w:spacing w:after="0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其它未进行格式要求的内容，按竞标人自定格式进行。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E0109"/>
    <w:multiLevelType w:val="singleLevel"/>
    <w:tmpl w:val="8A8E01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7E34EB"/>
    <w:multiLevelType w:val="singleLevel"/>
    <w:tmpl w:val="9D7E34E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A1E10F1C"/>
    <w:multiLevelType w:val="singleLevel"/>
    <w:tmpl w:val="A1E10F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B1F5921"/>
    <w:multiLevelType w:val="singleLevel"/>
    <w:tmpl w:val="AB1F5921"/>
    <w:lvl w:ilvl="0" w:tentative="0">
      <w:start w:val="1"/>
      <w:numFmt w:val="decimal"/>
      <w:suff w:val="nothing"/>
      <w:lvlText w:val="%1）"/>
      <w:lvlJc w:val="left"/>
      <w:pPr>
        <w:ind w:left="330" w:leftChars="0" w:firstLine="0" w:firstLineChars="0"/>
      </w:pPr>
    </w:lvl>
  </w:abstractNum>
  <w:abstractNum w:abstractNumId="4">
    <w:nsid w:val="B037F47E"/>
    <w:multiLevelType w:val="singleLevel"/>
    <w:tmpl w:val="B037F4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B57D7DCE"/>
    <w:multiLevelType w:val="singleLevel"/>
    <w:tmpl w:val="B57D7D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C3888903"/>
    <w:multiLevelType w:val="singleLevel"/>
    <w:tmpl w:val="C3888903"/>
    <w:lvl w:ilvl="0" w:tentative="0">
      <w:start w:val="1"/>
      <w:numFmt w:val="decimal"/>
      <w:suff w:val="nothing"/>
      <w:lvlText w:val="%1）"/>
      <w:lvlJc w:val="left"/>
      <w:pPr>
        <w:ind w:left="330" w:leftChars="0" w:firstLine="0" w:firstLineChars="0"/>
      </w:pPr>
    </w:lvl>
  </w:abstractNum>
  <w:abstractNum w:abstractNumId="7">
    <w:nsid w:val="017871B9"/>
    <w:multiLevelType w:val="singleLevel"/>
    <w:tmpl w:val="017871B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8CC255B"/>
    <w:multiLevelType w:val="singleLevel"/>
    <w:tmpl w:val="78CC255B"/>
    <w:lvl w:ilvl="0" w:tentative="0">
      <w:start w:val="1"/>
      <w:numFmt w:val="decimal"/>
      <w:suff w:val="nothing"/>
      <w:lvlText w:val="%1）"/>
      <w:lvlJc w:val="left"/>
      <w:pPr>
        <w:ind w:left="330" w:leftChars="0" w:firstLine="0" w:firstLineChars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jFjYzdiMTVkOWU0NWEyNWM5ZGFmNDAwZGJkYzAifQ=="/>
  </w:docVars>
  <w:rsids>
    <w:rsidRoot w:val="00000000"/>
    <w:rsid w:val="0ABA5393"/>
    <w:rsid w:val="0E3113E5"/>
    <w:rsid w:val="37410504"/>
    <w:rsid w:val="378254DC"/>
    <w:rsid w:val="5ACB792D"/>
    <w:rsid w:val="69D93EE7"/>
    <w:rsid w:val="77176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2669</Words>
  <Characters>2867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2022-08-23T08:45:00Z</dcterms:created>
  <dc:creator>Sue-榡</dc:creator>
  <cp:lastModifiedBy>丁EC</cp:lastModifiedBy>
  <dcterms:modified xsi:type="dcterms:W3CDTF">2023-08-28T01:12:58Z</dcterms:modified>
  <dc:title>竞价/综合评议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FB7E860374784C03B074F199A96F05BC_13</vt:lpwstr>
  </property>
</Properties>
</file>